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rPr>
          <w:rFonts w:hint="eastAsia" w:ascii="Times New Roman" w:hAnsi="Times New Roman" w:eastAsia="黑体" w:cs="Times New Roman"/>
          <w:sz w:val="32"/>
          <w:lang w:val="en-US" w:eastAsia="zh-CN"/>
        </w:rPr>
      </w:pPr>
      <w:r>
        <w:rPr>
          <w:rFonts w:ascii="Times New Roman" w:hAnsi="Times New Roman" w:eastAsia="黑体" w:cs="Times New Roman"/>
          <w:sz w:val="32"/>
        </w:rPr>
        <w:t>附件</w:t>
      </w:r>
      <w:r>
        <w:rPr>
          <w:rFonts w:hint="eastAsia" w:ascii="Times New Roman" w:hAnsi="Times New Roman" w:eastAsia="黑体" w:cs="Times New Roman"/>
          <w:sz w:val="32"/>
          <w:lang w:val="en-US" w:eastAsia="zh-CN"/>
        </w:rPr>
        <w:t>2</w:t>
      </w:r>
    </w:p>
    <w:p>
      <w:pPr>
        <w:spacing w:line="600" w:lineRule="exact"/>
        <w:jc w:val="center"/>
        <w:rPr>
          <w:rFonts w:ascii="Times New Roman" w:hAnsi="Times New Roman" w:eastAsia="方正小标宋简体" w:cs="Times New Roman"/>
          <w:b/>
          <w:bCs/>
          <w:sz w:val="48"/>
        </w:rPr>
      </w:pPr>
    </w:p>
    <w:p>
      <w:pPr>
        <w:spacing w:line="600" w:lineRule="exact"/>
        <w:jc w:val="center"/>
        <w:rPr>
          <w:rFonts w:ascii="Times New Roman" w:hAnsi="Times New Roman" w:eastAsia="方正小标宋简体" w:cs="Times New Roman"/>
          <w:sz w:val="48"/>
        </w:rPr>
      </w:pPr>
      <w:bookmarkStart w:id="0" w:name="_GoBack"/>
      <w:r>
        <w:rPr>
          <w:rFonts w:ascii="Times New Roman" w:hAnsi="Times New Roman" w:eastAsia="方正小标宋简体" w:cs="Times New Roman"/>
          <w:sz w:val="48"/>
        </w:rPr>
        <w:t>贵州省煤矿储能应急电源建设</w:t>
      </w:r>
      <w:r>
        <w:rPr>
          <w:rFonts w:hint="eastAsia" w:ascii="Times New Roman" w:hAnsi="Times New Roman" w:eastAsia="方正小标宋简体" w:cs="Times New Roman"/>
          <w:sz w:val="48"/>
          <w:lang w:eastAsia="zh-CN"/>
        </w:rPr>
        <w:t>和供电系统防雷改造</w:t>
      </w:r>
      <w:r>
        <w:rPr>
          <w:rFonts w:ascii="Times New Roman" w:hAnsi="Times New Roman" w:eastAsia="方正小标宋简体" w:cs="Times New Roman"/>
          <w:sz w:val="48"/>
        </w:rPr>
        <w:t>项目财政奖补资金申报指南</w:t>
      </w:r>
    </w:p>
    <w:bookmarkEnd w:id="0"/>
    <w:p>
      <w:pPr>
        <w:spacing w:line="600" w:lineRule="exact"/>
        <w:rPr>
          <w:rFonts w:ascii="Times New Roman" w:hAnsi="Times New Roman" w:eastAsia="宋体" w:cs="Times New Roman"/>
        </w:rPr>
      </w:pPr>
      <w:r>
        <w:rPr>
          <w:rFonts w:ascii="Times New Roman" w:hAnsi="Times New Roman" w:eastAsia="宋体" w:cs="Times New Roma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宋体" w:cs="Times New Roman"/>
        </w:rPr>
      </w:pPr>
      <w:r>
        <w:rPr>
          <w:rFonts w:ascii="Times New Roman" w:hAnsi="Times New Roman" w:eastAsia="黑体" w:cs="Times New Roman"/>
          <w:sz w:val="32"/>
        </w:rPr>
        <w:t>一、申报条件</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eastAsia="zh-CN"/>
        </w:rPr>
        <w:t>申报主体应为</w:t>
      </w:r>
      <w:r>
        <w:rPr>
          <w:rFonts w:ascii="Times New Roman" w:hAnsi="Times New Roman" w:eastAsia="仿宋_GB2312" w:cs="Times New Roman"/>
          <w:sz w:val="32"/>
        </w:rPr>
        <w:t>贵州省</w:t>
      </w:r>
      <w:r>
        <w:rPr>
          <w:rFonts w:hint="eastAsia" w:ascii="Times New Roman" w:hAnsi="Times New Roman" w:eastAsia="仿宋_GB2312" w:cs="Times New Roman"/>
          <w:sz w:val="32"/>
          <w:lang w:eastAsia="zh-CN"/>
        </w:rPr>
        <w:t>合法</w:t>
      </w:r>
      <w:r>
        <w:rPr>
          <w:rFonts w:ascii="Times New Roman" w:hAnsi="Times New Roman" w:eastAsia="仿宋_GB2312" w:cs="Times New Roman"/>
          <w:sz w:val="32"/>
        </w:rPr>
        <w:t>境内生产、建设煤矿</w:t>
      </w:r>
      <w:r>
        <w:rPr>
          <w:rFonts w:hint="eastAsia" w:ascii="Times New Roman" w:hAnsi="Times New Roman" w:eastAsia="仿宋_GB2312" w:cs="Times New Roman"/>
          <w:sz w:val="32"/>
          <w:lang w:eastAsia="zh-CN"/>
        </w:rPr>
        <w:t>，且</w:t>
      </w:r>
      <w:r>
        <w:rPr>
          <w:rFonts w:ascii="Times New Roman" w:hAnsi="Times New Roman" w:eastAsia="仿宋_GB2312" w:cs="Times New Roman"/>
          <w:sz w:val="32"/>
        </w:rPr>
        <w:t>符合以下条件</w:t>
      </w:r>
      <w:r>
        <w:rPr>
          <w:rFonts w:hint="eastAsia" w:ascii="Times New Roman" w:hAnsi="Times New Roman" w:eastAsia="仿宋_GB2312" w:cs="Times New Roman"/>
          <w:sz w:val="32"/>
          <w:lang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1.</w:t>
      </w:r>
      <w:r>
        <w:rPr>
          <w:rFonts w:ascii="Times New Roman" w:hAnsi="Times New Roman" w:eastAsia="仿宋_GB2312" w:cs="Times New Roman"/>
          <w:sz w:val="32"/>
        </w:rPr>
        <w:t>煤矿规模应为30万吨/年及以上，近三年无关闭或者淘汰</w:t>
      </w:r>
      <w:r>
        <w:rPr>
          <w:rFonts w:hint="eastAsia" w:ascii="Times New Roman" w:hAnsi="Times New Roman" w:eastAsia="仿宋_GB2312" w:cs="Times New Roman"/>
          <w:sz w:val="32"/>
          <w:lang w:eastAsia="zh-CN"/>
        </w:rPr>
        <w:t>退出</w:t>
      </w:r>
      <w:r>
        <w:rPr>
          <w:rFonts w:ascii="Times New Roman" w:hAnsi="Times New Roman" w:eastAsia="仿宋_GB2312" w:cs="Times New Roman"/>
          <w:sz w:val="32"/>
        </w:rPr>
        <w:t>计划。</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2.</w:t>
      </w:r>
      <w:r>
        <w:rPr>
          <w:rFonts w:hint="eastAsia" w:ascii="Times New Roman" w:hAnsi="Times New Roman" w:eastAsia="仿宋_GB2312" w:cs="Times New Roman"/>
          <w:sz w:val="32"/>
        </w:rPr>
        <w:t>储能应急电源建设完成，能正常热备运行</w:t>
      </w:r>
      <w:r>
        <w:rPr>
          <w:rFonts w:ascii="Times New Roman" w:hAnsi="Times New Roman" w:eastAsia="仿宋_GB2312" w:cs="Times New Roman"/>
          <w:sz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szCs w:val="32"/>
          <w:lang w:val="en-US" w:eastAsia="zh-CN"/>
        </w:rPr>
      </w:pPr>
      <w:r>
        <w:rPr>
          <w:rFonts w:hint="eastAsia" w:ascii="Times New Roman" w:hAnsi="Times New Roman" w:eastAsia="仿宋_GB2312" w:cs="Times New Roman"/>
          <w:sz w:val="32"/>
          <w:szCs w:val="32"/>
          <w:lang w:val="en-US" w:eastAsia="zh-CN"/>
        </w:rPr>
        <w:t>3.</w:t>
      </w:r>
      <w:r>
        <w:rPr>
          <w:rFonts w:hint="eastAsia" w:ascii="Times New Roman" w:hAnsi="Times New Roman" w:eastAsia="仿宋_GB2312" w:cs="Times New Roman"/>
          <w:sz w:val="32"/>
          <w:szCs w:val="32"/>
          <w:lang w:eastAsia="zh-CN"/>
        </w:rPr>
        <w:t>通过采用新型材料对煤矿产权内供电架空线路及供电设备接地系统进行改造、有效降低接地系统电阻提升防雷能力。</w:t>
      </w:r>
      <w:r>
        <w:rPr>
          <w:rFonts w:hint="eastAsia" w:ascii="Times New Roman" w:hAnsi="Times New Roman" w:eastAsia="仿宋_GB2312" w:cs="Times New Roman"/>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lang w:eastAsia="zh-CN"/>
        </w:rPr>
      </w:pPr>
      <w:r>
        <w:rPr>
          <w:rFonts w:hint="eastAsia" w:ascii="Times New Roman" w:hAnsi="Times New Roman" w:eastAsia="仿宋_GB2312" w:cs="Times New Roman"/>
          <w:kern w:val="2"/>
          <w:sz w:val="32"/>
          <w:szCs w:val="32"/>
          <w:lang w:val="en-US" w:eastAsia="zh-CN" w:bidi="ar-SA"/>
        </w:rPr>
        <w:t>4.</w:t>
      </w:r>
      <w:r>
        <w:rPr>
          <w:rFonts w:hint="default" w:ascii="Times New Roman" w:hAnsi="Times New Roman" w:eastAsia="仿宋_GB2312" w:cs="Times New Roman"/>
          <w:kern w:val="2"/>
          <w:sz w:val="32"/>
          <w:szCs w:val="32"/>
          <w:lang w:val="en-US" w:eastAsia="zh-CN" w:bidi="ar-SA"/>
        </w:rPr>
        <w:t>未被列入信用中国“严重失信主体名单”。</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黑体" w:cs="Times New Roman"/>
          <w:sz w:val="32"/>
        </w:rPr>
        <w:t>二、技术要求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（一）煤矿申报的储能应急电源建设项目，应同时满足以下要求: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1.</w:t>
      </w:r>
      <w:r>
        <w:rPr>
          <w:rFonts w:ascii="Times New Roman" w:hAnsi="Times New Roman" w:eastAsia="仿宋_GB2312" w:cs="Times New Roman"/>
          <w:sz w:val="32"/>
        </w:rPr>
        <w:t>储能应急电源配置应满足在双回路供电同时停电的情况下，为煤矿供电提供安全可靠的备用电源，保障煤矿</w:t>
      </w:r>
      <w:r>
        <w:rPr>
          <w:rFonts w:hint="eastAsia" w:ascii="Times New Roman" w:hAnsi="Times New Roman" w:eastAsia="仿宋_GB2312" w:cs="Times New Roman"/>
          <w:sz w:val="32"/>
        </w:rPr>
        <w:t>瓦斯抽放泵、主通风机和局部通风机</w:t>
      </w:r>
      <w:r>
        <w:rPr>
          <w:rFonts w:ascii="Times New Roman" w:hAnsi="Times New Roman" w:eastAsia="仿宋_GB2312" w:cs="Times New Roman"/>
          <w:sz w:val="32"/>
        </w:rPr>
        <w:t>持续运行不低于</w:t>
      </w:r>
      <w:r>
        <w:rPr>
          <w:rFonts w:hint="eastAsia" w:ascii="Times New Roman" w:hAnsi="Times New Roman" w:eastAsia="仿宋_GB2312" w:cs="Times New Roman"/>
          <w:sz w:val="32"/>
          <w:lang w:val="en-US" w:eastAsia="zh-CN"/>
        </w:rPr>
        <w:t>60</w:t>
      </w:r>
      <w:r>
        <w:rPr>
          <w:rFonts w:hint="eastAsia" w:ascii="Times New Roman" w:hAnsi="Times New Roman" w:eastAsia="仿宋_GB2312" w:cs="Times New Roman"/>
          <w:sz w:val="32"/>
        </w:rPr>
        <w:t>分钟</w:t>
      </w:r>
      <w:r>
        <w:rPr>
          <w:rFonts w:ascii="Times New Roman" w:hAnsi="Times New Roman" w:eastAsia="仿宋_GB2312" w:cs="Times New Roman"/>
          <w:sz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2.</w:t>
      </w:r>
      <w:r>
        <w:rPr>
          <w:rFonts w:ascii="Times New Roman" w:hAnsi="Times New Roman" w:eastAsia="仿宋_GB2312" w:cs="Times New Roman"/>
          <w:sz w:val="32"/>
        </w:rPr>
        <w:t>储能应急电源最大输出功率不低于矿井瓦斯抽放泵、主通风机和局部通风机总功率120%，并确保相关设备稳定运行。</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3.</w:t>
      </w:r>
      <w:r>
        <w:rPr>
          <w:rFonts w:ascii="Times New Roman" w:hAnsi="Times New Roman" w:eastAsia="仿宋_GB2312" w:cs="Times New Roman"/>
          <w:sz w:val="32"/>
        </w:rPr>
        <w:t>储能应急电源应具备矿井外部电源停电后自动切换功能，切换时间不大于1分钟。</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储能方式可选择化学储能、飞轮储能、电容储能等形式。</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eastAsia="zh-CN"/>
        </w:rPr>
        <w:t>（二）</w:t>
      </w:r>
      <w:r>
        <w:rPr>
          <w:rFonts w:ascii="Times New Roman" w:hAnsi="Times New Roman" w:eastAsia="仿宋_GB2312" w:cs="Times New Roman"/>
          <w:sz w:val="32"/>
        </w:rPr>
        <w:t>煤矿申报的</w:t>
      </w:r>
      <w:r>
        <w:rPr>
          <w:rFonts w:hint="eastAsia" w:ascii="Times New Roman" w:hAnsi="Times New Roman" w:eastAsia="仿宋_GB2312" w:cs="Times New Roman"/>
          <w:sz w:val="32"/>
          <w:lang w:eastAsia="zh-CN"/>
        </w:rPr>
        <w:t>供电系统防雷改造</w:t>
      </w:r>
      <w:r>
        <w:rPr>
          <w:rFonts w:hint="eastAsia" w:ascii="Times New Roman" w:hAnsi="Times New Roman" w:eastAsia="仿宋_GB2312" w:cs="Times New Roman"/>
          <w:sz w:val="32"/>
        </w:rPr>
        <w:t>项目，应同时满足以下要求: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1.</w:t>
      </w:r>
      <w:r>
        <w:rPr>
          <w:rFonts w:hint="eastAsia" w:ascii="Times New Roman" w:hAnsi="Times New Roman" w:eastAsia="仿宋_GB2312" w:cs="Times New Roman"/>
          <w:sz w:val="32"/>
        </w:rPr>
        <w:t>采用新型接地体，对煤矿产权内供电架空线路及供电设备接地系统进行改造，将接地工频电阻将至4</w:t>
      </w:r>
      <w:r>
        <w:rPr>
          <w:rFonts w:hint="eastAsia" w:ascii="Times New Roman" w:hAnsi="Times New Roman" w:eastAsia="仿宋_GB2312" w:cs="Times New Roman"/>
          <w:sz w:val="32"/>
          <w:lang w:eastAsia="zh-CN"/>
        </w:rPr>
        <w:t>Ω</w:t>
      </w:r>
      <w:r>
        <w:rPr>
          <w:rFonts w:hint="eastAsia" w:ascii="Times New Roman" w:hAnsi="Times New Roman" w:eastAsia="仿宋_GB2312" w:cs="Times New Roman"/>
          <w:sz w:val="32"/>
        </w:rPr>
        <w:t>以下，在土壤电阻率低的杆塔接地工频电阻降至2</w:t>
      </w:r>
      <w:r>
        <w:rPr>
          <w:rFonts w:hint="eastAsia" w:ascii="Times New Roman" w:hAnsi="Times New Roman" w:eastAsia="仿宋_GB2312" w:cs="Times New Roman"/>
          <w:sz w:val="32"/>
          <w:lang w:eastAsia="zh-CN"/>
        </w:rPr>
        <w:t>Ω</w:t>
      </w:r>
      <w:r>
        <w:rPr>
          <w:rFonts w:hint="eastAsia" w:ascii="Times New Roman" w:hAnsi="Times New Roman" w:eastAsia="仿宋_GB2312" w:cs="Times New Roman"/>
          <w:sz w:val="32"/>
        </w:rPr>
        <w:t>以下。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2.</w:t>
      </w:r>
      <w:r>
        <w:rPr>
          <w:rFonts w:hint="default" w:ascii="Times New Roman" w:hAnsi="Times New Roman" w:eastAsia="仿宋_GB2312" w:cs="Times New Roman"/>
          <w:sz w:val="32"/>
        </w:rPr>
        <w:t>所选用的</w:t>
      </w:r>
      <w:r>
        <w:rPr>
          <w:rFonts w:hint="eastAsia" w:ascii="Times New Roman" w:hAnsi="Times New Roman" w:eastAsia="仿宋_GB2312" w:cs="Times New Roman"/>
          <w:sz w:val="32"/>
          <w:lang w:val="en-US" w:eastAsia="zh-CN"/>
        </w:rPr>
        <w:t>新型</w:t>
      </w:r>
      <w:r>
        <w:rPr>
          <w:rFonts w:hint="default" w:ascii="Times New Roman" w:hAnsi="Times New Roman" w:eastAsia="仿宋_GB2312" w:cs="Times New Roman"/>
          <w:sz w:val="32"/>
        </w:rPr>
        <w:t>接地体及配套材料应具备良好的导电性能、抗腐蚀能力和机械强度，设计使用寿命不低于 15 年。</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3.新型</w:t>
      </w:r>
      <w:r>
        <w:rPr>
          <w:rFonts w:hint="default" w:ascii="Times New Roman" w:hAnsi="Times New Roman" w:eastAsia="仿宋_GB2312" w:cs="Times New Roman"/>
          <w:sz w:val="32"/>
        </w:rPr>
        <w:t>接地体接地沟开挖宽度不少于 300mm，平丘及耕种地区埋设深度 ≥ 0.8m，山地 ≥ 0.6m，岩石地区 ≥ 0.</w:t>
      </w:r>
      <w:r>
        <w:rPr>
          <w:rFonts w:hint="default" w:ascii="Times New Roman" w:hAnsi="Times New Roman" w:eastAsia="仿宋_GB2312" w:cs="Times New Roman"/>
          <w:sz w:val="32"/>
          <w:lang w:val="en-US" w:eastAsia="zh-CN"/>
        </w:rPr>
        <w:t>3m；</w:t>
      </w:r>
      <w:r>
        <w:rPr>
          <w:rFonts w:hint="default" w:ascii="Times New Roman" w:hAnsi="Times New Roman" w:eastAsia="仿宋_GB2312" w:cs="Times New Roman"/>
          <w:sz w:val="32"/>
        </w:rPr>
        <w:t>接地装置与临近设施接地体间距 ≥  5m</w:t>
      </w:r>
      <w:r>
        <w:rPr>
          <w:rFonts w:hint="eastAsia" w:ascii="Times New Roman" w:hAnsi="Times New Roman" w:eastAsia="仿宋_GB2312" w:cs="Times New Roman"/>
          <w:sz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rPr>
      </w:pPr>
      <w:r>
        <w:rPr>
          <w:rFonts w:ascii="Times New Roman" w:hAnsi="Times New Roman" w:eastAsia="黑体" w:cs="Times New Roman"/>
          <w:sz w:val="32"/>
        </w:rPr>
        <w:t>三、申报程序及要求</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1.</w:t>
      </w:r>
      <w:r>
        <w:rPr>
          <w:rFonts w:hint="default" w:ascii="Times New Roman" w:hAnsi="Times New Roman" w:eastAsia="仿宋_GB2312" w:cs="Times New Roman"/>
          <w:sz w:val="32"/>
        </w:rPr>
        <w:t>符合申报条件的煤矿企业按照属地管理原则，通过“贵州省能源云”平台向煤矿所属县级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行业管理部门申请资料初审和设备现场核实。</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2.</w:t>
      </w:r>
      <w:r>
        <w:rPr>
          <w:rFonts w:hint="default" w:ascii="Times New Roman" w:hAnsi="Times New Roman" w:eastAsia="仿宋_GB2312" w:cs="Times New Roman"/>
          <w:sz w:val="32"/>
        </w:rPr>
        <w:t>经县级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行业管理部门初审和现场核实通过后，由县级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行业管理部门通过“贵州省能源云”平台报市级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行业管理部门申请资料审查，市级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行业管理部门按规定对县级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行业管理部门上报的</w:t>
      </w:r>
      <w:r>
        <w:rPr>
          <w:rFonts w:hint="eastAsia" w:ascii="Times New Roman" w:hAnsi="Times New Roman" w:eastAsia="仿宋_GB2312" w:cs="Times New Roman"/>
          <w:sz w:val="32"/>
          <w:lang w:eastAsia="zh-CN"/>
        </w:rPr>
        <w:t>资料、</w:t>
      </w:r>
      <w:r>
        <w:rPr>
          <w:rFonts w:hint="default" w:ascii="Times New Roman" w:hAnsi="Times New Roman" w:eastAsia="仿宋_GB2312" w:cs="Times New Roman"/>
          <w:sz w:val="32"/>
        </w:rPr>
        <w:t>设备进行现场核实抽查。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3.</w:t>
      </w:r>
      <w:r>
        <w:rPr>
          <w:rFonts w:hint="default" w:ascii="Times New Roman" w:hAnsi="Times New Roman" w:eastAsia="仿宋_GB2312" w:cs="Times New Roman"/>
          <w:sz w:val="32"/>
        </w:rPr>
        <w:t>经市级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行业管理部门审查通过后，由市级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行业管理部门通过“贵州省能源云”平台报省能源局终审，省能源局按规定对市级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行业管理部门上报的</w:t>
      </w:r>
      <w:r>
        <w:rPr>
          <w:rFonts w:hint="eastAsia" w:ascii="Times New Roman" w:hAnsi="Times New Roman" w:eastAsia="仿宋_GB2312" w:cs="Times New Roman"/>
          <w:sz w:val="32"/>
          <w:lang w:eastAsia="zh-CN"/>
        </w:rPr>
        <w:t>资料、</w:t>
      </w:r>
      <w:r>
        <w:rPr>
          <w:rFonts w:hint="default" w:ascii="Times New Roman" w:hAnsi="Times New Roman" w:eastAsia="仿宋_GB2312" w:cs="Times New Roman"/>
          <w:sz w:val="32"/>
        </w:rPr>
        <w:t>设备进行现场核实抽查。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4.</w:t>
      </w:r>
      <w:r>
        <w:rPr>
          <w:rFonts w:hint="default" w:ascii="Times New Roman" w:hAnsi="Times New Roman" w:eastAsia="仿宋_GB2312" w:cs="Times New Roman"/>
          <w:sz w:val="32"/>
        </w:rPr>
        <w:t>省能源局终审通过后，在“贵州省能源局”网站上对符合奖补的</w:t>
      </w:r>
      <w:r>
        <w:rPr>
          <w:rFonts w:hint="eastAsia" w:ascii="Times New Roman" w:hAnsi="Times New Roman" w:eastAsia="仿宋_GB2312" w:cs="Times New Roman"/>
          <w:sz w:val="32"/>
          <w:lang w:eastAsia="zh-CN"/>
        </w:rPr>
        <w:t>项目</w:t>
      </w:r>
      <w:r>
        <w:rPr>
          <w:rFonts w:hint="default" w:ascii="Times New Roman" w:hAnsi="Times New Roman" w:eastAsia="仿宋_GB2312" w:cs="Times New Roman"/>
          <w:sz w:val="32"/>
        </w:rPr>
        <w:t>进行公示。</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5.</w:t>
      </w:r>
      <w:r>
        <w:rPr>
          <w:rFonts w:hint="default" w:ascii="Times New Roman" w:hAnsi="Times New Roman" w:eastAsia="仿宋_GB2312" w:cs="Times New Roman"/>
          <w:sz w:val="32"/>
        </w:rPr>
        <w:t>未完成申报时，各级</w:t>
      </w:r>
      <w:r>
        <w:rPr>
          <w:rFonts w:hint="eastAsia" w:ascii="Times New Roman" w:hAnsi="Times New Roman" w:eastAsia="仿宋_GB2312" w:cs="Times New Roman"/>
          <w:sz w:val="32"/>
          <w:lang w:eastAsia="zh-CN"/>
        </w:rPr>
        <w:t>能源</w:t>
      </w:r>
      <w:r>
        <w:rPr>
          <w:rFonts w:hint="default" w:ascii="Times New Roman" w:hAnsi="Times New Roman" w:eastAsia="仿宋_GB2312" w:cs="Times New Roman"/>
          <w:sz w:val="32"/>
        </w:rPr>
        <w:t>行业管理部门暂不开展现场核实，待煤矿企业申请清算时按上述程序进行审查。</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rPr>
      </w:pPr>
      <w:r>
        <w:rPr>
          <w:rFonts w:ascii="Times New Roman" w:hAnsi="Times New Roman" w:eastAsia="黑体" w:cs="Times New Roman"/>
          <w:sz w:val="32"/>
        </w:rPr>
        <w:t>四、申报材料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申报煤矿储能应急电源建设</w:t>
      </w:r>
      <w:r>
        <w:rPr>
          <w:rFonts w:hint="eastAsia" w:ascii="Times New Roman" w:hAnsi="Times New Roman" w:eastAsia="仿宋_GB2312" w:cs="Times New Roman"/>
          <w:sz w:val="32"/>
          <w:lang w:eastAsia="zh-CN"/>
        </w:rPr>
        <w:t>或</w:t>
      </w:r>
      <w:r>
        <w:rPr>
          <w:rFonts w:hint="eastAsia" w:ascii="Times New Roman" w:hAnsi="Times New Roman" w:eastAsia="仿宋_GB2312" w:cs="Times New Roman"/>
          <w:sz w:val="32"/>
          <w:szCs w:val="32"/>
          <w:lang w:eastAsia="zh-CN"/>
        </w:rPr>
        <w:t>供电系统防雷改造</w:t>
      </w:r>
      <w:r>
        <w:rPr>
          <w:rFonts w:ascii="Times New Roman" w:hAnsi="Times New Roman" w:eastAsia="仿宋_GB2312" w:cs="Times New Roman"/>
          <w:sz w:val="32"/>
        </w:rPr>
        <w:t>财政奖补资</w:t>
      </w:r>
      <w:r>
        <w:rPr>
          <w:rFonts w:hint="eastAsia" w:ascii="Times New Roman" w:hAnsi="Times New Roman" w:eastAsia="仿宋_GB2312" w:cs="Times New Roman"/>
          <w:sz w:val="32"/>
          <w:lang w:eastAsia="zh-CN"/>
        </w:rPr>
        <w:t>金</w:t>
      </w:r>
      <w:r>
        <w:rPr>
          <w:rFonts w:ascii="Times New Roman" w:hAnsi="Times New Roman" w:eastAsia="仿宋_GB2312" w:cs="Times New Roman"/>
          <w:sz w:val="32"/>
        </w:rPr>
        <w:t>需提交以下申报材料：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1.煤矿企业申报文件（一式三份）。</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2.</w:t>
      </w:r>
      <w:r>
        <w:rPr>
          <w:rFonts w:hint="eastAsia" w:ascii="Times New Roman" w:hAnsi="Times New Roman" w:eastAsia="仿宋_GB2312" w:cs="Times New Roman"/>
          <w:sz w:val="32"/>
        </w:rPr>
        <w:t>奖补资金申请报告。</w:t>
      </w:r>
      <w:r>
        <w:rPr>
          <w:rFonts w:ascii="Times New Roman" w:hAnsi="Times New Roman" w:eastAsia="仿宋_GB2312" w:cs="Times New Roman"/>
          <w:sz w:val="32"/>
        </w:rPr>
        <w:t>主要内容包括项目单位基本情况、建设项目内容、技术工艺、</w:t>
      </w:r>
      <w:r>
        <w:rPr>
          <w:rFonts w:hint="eastAsia" w:ascii="Times New Roman" w:hAnsi="Times New Roman" w:eastAsia="仿宋_GB2312" w:cs="Times New Roman"/>
          <w:sz w:val="32"/>
        </w:rPr>
        <w:t>投资金额</w:t>
      </w:r>
      <w:r>
        <w:rPr>
          <w:rFonts w:ascii="Times New Roman" w:hAnsi="Times New Roman" w:eastAsia="仿宋_GB2312" w:cs="Times New Roman"/>
          <w:sz w:val="32"/>
        </w:rPr>
        <w:t>、项目完成时间、</w:t>
      </w:r>
      <w:r>
        <w:rPr>
          <w:rFonts w:hint="eastAsia" w:ascii="Times New Roman" w:hAnsi="Times New Roman" w:eastAsia="仿宋_GB2312" w:cs="Times New Roman"/>
          <w:sz w:val="32"/>
        </w:rPr>
        <w:t>运行情况、</w:t>
      </w:r>
      <w:r>
        <w:rPr>
          <w:rFonts w:ascii="Times New Roman" w:hAnsi="Times New Roman" w:eastAsia="仿宋_GB2312" w:cs="Times New Roman"/>
          <w:sz w:val="32"/>
        </w:rPr>
        <w:t>其他需要说明的事项等。</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rPr>
        <w:t>3.</w:t>
      </w:r>
      <w:r>
        <w:rPr>
          <w:rFonts w:ascii="Times New Roman" w:hAnsi="Times New Roman" w:eastAsia="仿宋_GB2312" w:cs="Times New Roman"/>
          <w:sz w:val="32"/>
        </w:rPr>
        <w:t>贵州省煤矿储能应急电源建设</w:t>
      </w:r>
      <w:r>
        <w:rPr>
          <w:rFonts w:hint="eastAsia" w:ascii="Times New Roman" w:hAnsi="Times New Roman" w:eastAsia="仿宋_GB2312" w:cs="Times New Roman"/>
          <w:sz w:val="32"/>
          <w:lang w:eastAsia="zh-CN"/>
        </w:rPr>
        <w:t>和</w:t>
      </w:r>
      <w:r>
        <w:rPr>
          <w:rFonts w:hint="eastAsia" w:ascii="Times New Roman" w:hAnsi="Times New Roman" w:eastAsia="仿宋_GB2312" w:cs="Times New Roman"/>
          <w:sz w:val="32"/>
          <w:szCs w:val="32"/>
          <w:lang w:eastAsia="zh-CN"/>
        </w:rPr>
        <w:t>供电系统防雷改造</w:t>
      </w:r>
      <w:r>
        <w:rPr>
          <w:rFonts w:ascii="Times New Roman" w:hAnsi="Times New Roman" w:eastAsia="仿宋_GB2312" w:cs="Times New Roman"/>
          <w:sz w:val="32"/>
        </w:rPr>
        <w:t>财政奖补资金申请表。</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4</w:t>
      </w:r>
      <w:r>
        <w:rPr>
          <w:rFonts w:ascii="Times New Roman" w:hAnsi="Times New Roman" w:eastAsia="仿宋_GB2312" w:cs="Times New Roman"/>
          <w:sz w:val="32"/>
        </w:rPr>
        <w:t>.生产煤矿安全生产许可证、营业执照；建设煤矿开工备案文件、营业执照。</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hint="eastAsia" w:ascii="Times New Roman" w:hAnsi="Times New Roman" w:eastAsia="仿宋_GB2312" w:cs="Times New Roman"/>
          <w:sz w:val="32"/>
        </w:rPr>
      </w:pPr>
      <w:r>
        <w:rPr>
          <w:rFonts w:hint="eastAsia" w:ascii="Times New Roman" w:hAnsi="Times New Roman" w:eastAsia="仿宋_GB2312" w:cs="Times New Roman"/>
          <w:sz w:val="32"/>
          <w:lang w:val="en-US" w:eastAsia="zh-CN"/>
        </w:rPr>
        <w:t>5</w:t>
      </w:r>
      <w:r>
        <w:rPr>
          <w:rFonts w:hint="eastAsia" w:ascii="Times New Roman" w:hAnsi="Times New Roman" w:eastAsia="仿宋_GB2312" w:cs="Times New Roman"/>
          <w:sz w:val="32"/>
        </w:rPr>
        <w:t>.</w:t>
      </w:r>
      <w:r>
        <w:rPr>
          <w:rFonts w:hint="eastAsia" w:ascii="Times New Roman" w:hAnsi="Times New Roman" w:eastAsia="仿宋_GB2312" w:cs="Times New Roman"/>
          <w:sz w:val="32"/>
          <w:lang w:eastAsia="zh-CN"/>
        </w:rPr>
        <w:t>采购合同、</w:t>
      </w:r>
      <w:r>
        <w:rPr>
          <w:rFonts w:hint="eastAsia" w:ascii="Times New Roman" w:hAnsi="Times New Roman" w:eastAsia="仿宋_GB2312" w:cs="Times New Roman"/>
          <w:sz w:val="32"/>
        </w:rPr>
        <w:t>资金支出凭证</w:t>
      </w:r>
      <w:r>
        <w:rPr>
          <w:rFonts w:hint="eastAsia" w:ascii="Times New Roman" w:hAnsi="Times New Roman" w:eastAsia="仿宋_GB2312" w:cs="Times New Roman"/>
          <w:sz w:val="32"/>
          <w:lang w:eastAsia="zh-CN"/>
        </w:rPr>
        <w:t>、发票</w:t>
      </w:r>
      <w:r>
        <w:rPr>
          <w:rFonts w:hint="eastAsia" w:ascii="Times New Roman" w:hAnsi="Times New Roman" w:eastAsia="仿宋_GB2312" w:cs="Times New Roman"/>
          <w:sz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6.</w:t>
      </w:r>
      <w:r>
        <w:rPr>
          <w:rFonts w:ascii="Times New Roman" w:hAnsi="Times New Roman" w:eastAsia="仿宋_GB2312" w:cs="Times New Roman"/>
          <w:sz w:val="32"/>
        </w:rPr>
        <w:t>主体企业对提供的相关资料真实性负责的</w:t>
      </w:r>
      <w:r>
        <w:rPr>
          <w:rFonts w:hint="eastAsia" w:ascii="Times New Roman" w:hAnsi="Times New Roman" w:eastAsia="仿宋_GB2312" w:cs="Times New Roman"/>
          <w:sz w:val="32"/>
        </w:rPr>
        <w:t>声明或承诺</w:t>
      </w:r>
      <w:r>
        <w:rPr>
          <w:rFonts w:ascii="Times New Roman" w:hAnsi="Times New Roman" w:eastAsia="仿宋_GB2312" w:cs="Times New Roman"/>
          <w:sz w:val="32"/>
        </w:rPr>
        <w:t>。</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lang w:val="en-US" w:eastAsia="zh-CN"/>
        </w:rPr>
        <w:t>7</w:t>
      </w:r>
      <w:r>
        <w:rPr>
          <w:rFonts w:ascii="Times New Roman" w:hAnsi="Times New Roman" w:eastAsia="仿宋_GB2312" w:cs="Times New Roman"/>
          <w:sz w:val="32"/>
        </w:rPr>
        <w:t>.其他还需说明的材料。</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rPr>
      </w:pPr>
      <w:r>
        <w:rPr>
          <w:rFonts w:ascii="Times New Roman" w:hAnsi="Times New Roman" w:eastAsia="黑体" w:cs="Times New Roman"/>
          <w:sz w:val="32"/>
        </w:rPr>
        <w:t>五、奖补资金拨付</w:t>
      </w:r>
      <w:r>
        <w:rPr>
          <w:rFonts w:hint="eastAsia" w:ascii="Times New Roman" w:hAnsi="Times New Roman" w:eastAsia="黑体" w:cs="Times New Roman"/>
          <w:sz w:val="32"/>
        </w:rPr>
        <w:t>流程</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rPr>
        <w:t>1.对完成储能应急电源</w:t>
      </w:r>
      <w:r>
        <w:rPr>
          <w:rFonts w:hint="eastAsia" w:ascii="Times New Roman" w:hAnsi="Times New Roman" w:eastAsia="仿宋_GB2312" w:cs="Times New Roman"/>
          <w:sz w:val="32"/>
          <w:lang w:eastAsia="zh-CN"/>
        </w:rPr>
        <w:t>建设或</w:t>
      </w:r>
      <w:r>
        <w:rPr>
          <w:rFonts w:hint="eastAsia" w:ascii="Times New Roman" w:hAnsi="Times New Roman" w:eastAsia="仿宋_GB2312" w:cs="Times New Roman"/>
          <w:sz w:val="32"/>
          <w:szCs w:val="32"/>
          <w:lang w:eastAsia="zh-CN"/>
        </w:rPr>
        <w:t>供电系统防雷改造</w:t>
      </w:r>
      <w:r>
        <w:rPr>
          <w:rFonts w:hint="eastAsia" w:ascii="Times New Roman" w:hAnsi="Times New Roman" w:eastAsia="仿宋_GB2312" w:cs="Times New Roman"/>
          <w:sz w:val="32"/>
        </w:rPr>
        <w:t>的</w:t>
      </w:r>
      <w:r>
        <w:rPr>
          <w:rFonts w:hint="eastAsia" w:ascii="Times New Roman" w:hAnsi="Times New Roman" w:eastAsia="仿宋_GB2312" w:cs="Times New Roman"/>
          <w:sz w:val="32"/>
          <w:lang w:eastAsia="zh-CN"/>
        </w:rPr>
        <w:t>煤矿</w:t>
      </w:r>
      <w:r>
        <w:rPr>
          <w:rFonts w:hint="eastAsia" w:ascii="Times New Roman" w:hAnsi="Times New Roman" w:eastAsia="仿宋_GB2312" w:cs="Times New Roman"/>
          <w:sz w:val="32"/>
        </w:rPr>
        <w:t>，由实施煤矿编写资金申报文件，提交奖补资金申请。</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hint="eastAsia" w:ascii="Times New Roman" w:hAnsi="Times New Roman" w:eastAsia="仿宋_GB2312" w:cs="Times New Roman"/>
          <w:sz w:val="32"/>
        </w:rPr>
        <w:t>2</w:t>
      </w:r>
      <w:r>
        <w:rPr>
          <w:rFonts w:ascii="Times New Roman" w:hAnsi="Times New Roman" w:eastAsia="仿宋_GB2312" w:cs="Times New Roman"/>
          <w:sz w:val="32"/>
        </w:rPr>
        <w:t>.</w:t>
      </w:r>
      <w:r>
        <w:rPr>
          <w:rFonts w:hint="eastAsia" w:ascii="Times New Roman" w:hAnsi="Times New Roman" w:eastAsia="仿宋_GB2312" w:cs="Times New Roman"/>
          <w:sz w:val="32"/>
        </w:rPr>
        <w:t>省能源局收到申请后，组织</w:t>
      </w:r>
      <w:r>
        <w:rPr>
          <w:rFonts w:hint="eastAsia" w:ascii="Times New Roman" w:hAnsi="Times New Roman" w:eastAsia="仿宋_GB2312" w:cs="Times New Roman"/>
          <w:sz w:val="32"/>
          <w:lang w:eastAsia="zh-CN"/>
        </w:rPr>
        <w:t>市、县能源行业管理部门</w:t>
      </w:r>
      <w:r>
        <w:rPr>
          <w:rFonts w:hint="eastAsia" w:ascii="Times New Roman" w:hAnsi="Times New Roman" w:eastAsia="仿宋_GB2312" w:cs="Times New Roman"/>
          <w:sz w:val="32"/>
        </w:rPr>
        <w:t>开展现场复核，确认储能应急电源项目建设</w:t>
      </w:r>
      <w:r>
        <w:rPr>
          <w:rFonts w:hint="eastAsia" w:ascii="Times New Roman" w:hAnsi="Times New Roman" w:eastAsia="仿宋_GB2312" w:cs="Times New Roman"/>
          <w:sz w:val="32"/>
          <w:lang w:eastAsia="zh-CN"/>
        </w:rPr>
        <w:t>或</w:t>
      </w:r>
      <w:r>
        <w:rPr>
          <w:rFonts w:hint="eastAsia" w:ascii="Times New Roman" w:hAnsi="Times New Roman" w:eastAsia="仿宋_GB2312" w:cs="Times New Roman"/>
          <w:sz w:val="32"/>
          <w:szCs w:val="32"/>
          <w:lang w:eastAsia="zh-CN"/>
        </w:rPr>
        <w:t>供电系统防雷改造</w:t>
      </w:r>
      <w:r>
        <w:rPr>
          <w:rFonts w:hint="eastAsia" w:ascii="Times New Roman" w:hAnsi="Times New Roman" w:eastAsia="仿宋_GB2312" w:cs="Times New Roman"/>
          <w:sz w:val="32"/>
        </w:rPr>
        <w:t>完成并能正常运行后，</w:t>
      </w:r>
      <w:r>
        <w:rPr>
          <w:rFonts w:ascii="Times New Roman" w:hAnsi="Times New Roman" w:eastAsia="仿宋_GB2312" w:cs="Times New Roman"/>
          <w:sz w:val="32"/>
        </w:rPr>
        <w:t>会同省财政厅依据有关财政管理规定拨付奖补资金。</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黑体" w:cs="Times New Roman"/>
          <w:sz w:val="32"/>
        </w:rPr>
      </w:pPr>
      <w:r>
        <w:rPr>
          <w:rFonts w:ascii="Times New Roman" w:hAnsi="Times New Roman" w:eastAsia="黑体" w:cs="Times New Roman"/>
          <w:sz w:val="32"/>
        </w:rPr>
        <w:t>六、其它</w:t>
      </w:r>
    </w:p>
    <w:p>
      <w:pPr>
        <w:keepNext w:val="0"/>
        <w:keepLines w:val="0"/>
        <w:pageBreakBefore w:val="0"/>
        <w:widowControl w:val="0"/>
        <w:kinsoku/>
        <w:wordWrap/>
        <w:overflowPunct/>
        <w:topLinePunct w:val="0"/>
        <w:autoSpaceDE/>
        <w:autoSpaceDN/>
        <w:bidi w:val="0"/>
        <w:adjustRightInd/>
        <w:snapToGrid/>
        <w:spacing w:line="580" w:lineRule="exact"/>
        <w:ind w:firstLine="640" w:firstLineChars="200"/>
        <w:textAlignment w:val="auto"/>
        <w:rPr>
          <w:rFonts w:ascii="Times New Roman" w:hAnsi="Times New Roman" w:eastAsia="仿宋_GB2312" w:cs="Times New Roman"/>
          <w:sz w:val="32"/>
        </w:rPr>
      </w:pPr>
      <w:r>
        <w:rPr>
          <w:rFonts w:ascii="Times New Roman" w:hAnsi="Times New Roman" w:eastAsia="仿宋_GB2312" w:cs="Times New Roman"/>
          <w:sz w:val="32"/>
        </w:rPr>
        <w:t>本申报指南未提及的相关工作事项，严格按照贵州省能源领域有关财政奖补资金规定执行。</w:t>
      </w:r>
    </w:p>
    <w:p>
      <w:pPr>
        <w:spacing w:line="600" w:lineRule="exact"/>
        <w:rPr>
          <w:rFonts w:ascii="Times New Roman" w:hAnsi="Times New Roman" w:eastAsia="仿宋_GB2312" w:cs="Times New Roman"/>
          <w:sz w:val="32"/>
        </w:rPr>
      </w:pPr>
    </w:p>
    <w:p>
      <w:pPr>
        <w:widowControl w:val="0"/>
        <w:spacing w:before="240" w:beforeLines="0" w:after="60" w:afterLines="0"/>
        <w:jc w:val="center"/>
        <w:outlineLvl w:val="0"/>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pPr>
        <w:rPr>
          <w:rFonts w:ascii="Cambria" w:hAnsi="Cambria" w:eastAsia="宋体" w:cs="Times New Roman"/>
          <w:b/>
          <w:bCs/>
          <w:kern w:val="2"/>
          <w:sz w:val="21"/>
          <w:szCs w:val="32"/>
          <w:lang w:val="en-US" w:eastAsia="zh-CN" w:bidi="ar-SA"/>
        </w:rPr>
      </w:pPr>
    </w:p>
    <w:p>
      <w:pPr>
        <w:pStyle w:val="2"/>
        <w:rPr>
          <w:rFonts w:ascii="Cambria" w:hAnsi="Cambria" w:eastAsia="宋体" w:cs="Times New Roman"/>
          <w:b/>
          <w:bCs/>
          <w:kern w:val="2"/>
          <w:sz w:val="21"/>
          <w:szCs w:val="32"/>
          <w:lang w:val="en-US" w:eastAsia="zh-CN" w:bidi="ar-SA"/>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6F0F02"/>
    <w:rsid w:val="786F0F02"/>
    <w:rsid w:val="7AF110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Title"/>
    <w:basedOn w:val="1"/>
    <w:next w:val="1"/>
    <w:qFormat/>
    <w:uiPriority w:val="0"/>
    <w:pPr>
      <w:spacing w:before="240" w:beforeLines="0" w:after="60" w:afterLines="0"/>
      <w:jc w:val="center"/>
      <w:outlineLvl w:val="0"/>
    </w:pPr>
    <w:rPr>
      <w:rFonts w:ascii="Cambria" w:hAnsi="Cambria" w:eastAsia="宋体"/>
      <w:b/>
      <w:bCs/>
      <w:szCs w:val="32"/>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6">
    <w:name w:val="Table Grid"/>
    <w:basedOn w:val="5"/>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page number"/>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2026-04-13T08:55:00Z</dcterms:created>
  <dc:creator>Autistic  </dc:creator>
  <cp:lastModifiedBy>Autistic  </cp:lastModifiedBy>
  <dcterms:modified xsi:type="dcterms:W3CDTF">2026-04-13T08:57:53Z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